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MINISTERSTVO ŽIVOTNÍHO PROST</w:t>
      </w:r>
      <w:r>
        <w:rPr>
          <w:rFonts w:ascii="TimesNewRoman,Bold-OneByteIdent" w:hAnsi="TimesNewRoman,Bold-OneByteIdent" w:cs="TimesNewRoman,Bold-OneByteIdent"/>
          <w:b/>
          <w:bCs/>
          <w:sz w:val="32"/>
          <w:szCs w:val="32"/>
        </w:rPr>
        <w:t>Ř</w:t>
      </w:r>
      <w:r>
        <w:rPr>
          <w:rFonts w:ascii="Times-Bold" w:hAnsi="Times-Bold" w:cs="Times-Bold"/>
          <w:b/>
          <w:bCs/>
          <w:sz w:val="32"/>
          <w:szCs w:val="32"/>
        </w:rPr>
        <w:t>EDÍ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 00 PRAHA 10 - VRŠOVICE, Vršovická 65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Praze dne 9. listopadu 2010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.j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  <w:r>
        <w:rPr>
          <w:rFonts w:ascii="Times-Roman" w:hAnsi="Times-Roman" w:cs="Times-Roman"/>
          <w:sz w:val="24"/>
          <w:szCs w:val="24"/>
        </w:rPr>
        <w:t>: 97071/ENV/10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STANOVISKO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Ministerstva životního prost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ř</w:t>
      </w:r>
      <w:r>
        <w:rPr>
          <w:rFonts w:ascii="Times-Bold" w:hAnsi="Times-Bold" w:cs="Times-Bold"/>
          <w:b/>
          <w:bCs/>
          <w:sz w:val="28"/>
          <w:szCs w:val="28"/>
        </w:rPr>
        <w:t>edí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podle zákona 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č</w:t>
      </w:r>
      <w:r>
        <w:rPr>
          <w:rFonts w:ascii="Times-Bold" w:hAnsi="Times-Bold" w:cs="Times-Bold"/>
          <w:b/>
          <w:bCs/>
          <w:sz w:val="28"/>
          <w:szCs w:val="28"/>
        </w:rPr>
        <w:t>. 100/2001 Sb., o posuzování vliv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 xml:space="preserve">ů </w:t>
      </w:r>
      <w:r>
        <w:rPr>
          <w:rFonts w:ascii="Times-Bold" w:hAnsi="Times-Bold" w:cs="Times-Bold"/>
          <w:b/>
          <w:bCs/>
          <w:sz w:val="28"/>
          <w:szCs w:val="28"/>
        </w:rPr>
        <w:t>na životní prost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ř</w:t>
      </w:r>
      <w:r>
        <w:rPr>
          <w:rFonts w:ascii="Times-Bold" w:hAnsi="Times-Bold" w:cs="Times-Bold"/>
          <w:b/>
          <w:bCs/>
          <w:sz w:val="28"/>
          <w:szCs w:val="28"/>
        </w:rPr>
        <w:t>edí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 o zm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ě</w:t>
      </w:r>
      <w:r>
        <w:rPr>
          <w:rFonts w:ascii="Times-Bold" w:hAnsi="Times-Bold" w:cs="Times-Bold"/>
          <w:b/>
          <w:bCs/>
          <w:sz w:val="28"/>
          <w:szCs w:val="28"/>
        </w:rPr>
        <w:t>n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 xml:space="preserve">ě </w:t>
      </w:r>
      <w:r>
        <w:rPr>
          <w:rFonts w:ascii="Times-Bold" w:hAnsi="Times-Bold" w:cs="Times-Bold"/>
          <w:b/>
          <w:bCs/>
          <w:sz w:val="28"/>
          <w:szCs w:val="28"/>
        </w:rPr>
        <w:t>n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ě</w:t>
      </w:r>
      <w:r>
        <w:rPr>
          <w:rFonts w:ascii="Times-Bold" w:hAnsi="Times-Bold" w:cs="Times-Bold"/>
          <w:b/>
          <w:bCs/>
          <w:sz w:val="28"/>
          <w:szCs w:val="28"/>
        </w:rPr>
        <w:t>kterých souvisejících zákon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 xml:space="preserve">ů </w:t>
      </w:r>
      <w:r>
        <w:rPr>
          <w:rFonts w:ascii="Times-Bold" w:hAnsi="Times-Bold" w:cs="Times-Bold"/>
          <w:b/>
          <w:bCs/>
          <w:sz w:val="28"/>
          <w:szCs w:val="28"/>
        </w:rPr>
        <w:t>(zákon o posuzování vliv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 xml:space="preserve">ů </w:t>
      </w:r>
      <w:proofErr w:type="gramStart"/>
      <w:r>
        <w:rPr>
          <w:rFonts w:ascii="Times-Bold" w:hAnsi="Times-Bold" w:cs="Times-Bold"/>
          <w:b/>
          <w:bCs/>
          <w:sz w:val="28"/>
          <w:szCs w:val="28"/>
        </w:rPr>
        <w:t>na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životní prost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ř</w:t>
      </w:r>
      <w:r>
        <w:rPr>
          <w:rFonts w:ascii="Times-Bold" w:hAnsi="Times-Bold" w:cs="Times-Bold"/>
          <w:b/>
          <w:bCs/>
          <w:sz w:val="28"/>
          <w:szCs w:val="28"/>
        </w:rPr>
        <w:t>edí), ve zn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ě</w:t>
      </w:r>
      <w:r>
        <w:rPr>
          <w:rFonts w:ascii="Times-Bold" w:hAnsi="Times-Bold" w:cs="Times-Bold"/>
          <w:b/>
          <w:bCs/>
          <w:sz w:val="28"/>
          <w:szCs w:val="28"/>
        </w:rPr>
        <w:t>ní pozd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ě</w:t>
      </w:r>
      <w:r>
        <w:rPr>
          <w:rFonts w:ascii="Times-Bold" w:hAnsi="Times-Bold" w:cs="Times-Bold"/>
          <w:b/>
          <w:bCs/>
          <w:sz w:val="28"/>
          <w:szCs w:val="28"/>
        </w:rPr>
        <w:t>jších p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ř</w:t>
      </w:r>
      <w:r>
        <w:rPr>
          <w:rFonts w:ascii="Times-Bold" w:hAnsi="Times-Bold" w:cs="Times-Bold"/>
          <w:b/>
          <w:bCs/>
          <w:sz w:val="28"/>
          <w:szCs w:val="28"/>
        </w:rPr>
        <w:t>edpis</w:t>
      </w:r>
      <w:r>
        <w:rPr>
          <w:rFonts w:ascii="TimesNewRoman,Bold-OneByteIdent" w:hAnsi="TimesNewRoman,Bold-OneByteIdent" w:cs="TimesNewRoman,Bold-OneByteIdent"/>
          <w:b/>
          <w:bCs/>
          <w:sz w:val="28"/>
          <w:szCs w:val="28"/>
        </w:rPr>
        <w:t>ů</w:t>
      </w:r>
      <w:r>
        <w:rPr>
          <w:rFonts w:ascii="Times-Bold" w:hAnsi="Times-Bold" w:cs="Times-Bold"/>
          <w:b/>
          <w:bCs/>
          <w:sz w:val="28"/>
          <w:szCs w:val="28"/>
        </w:rPr>
        <w:t>,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k návrhu koncepce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„Aktualizace Programu snižování emisí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 Programu ke zlepšení kvality ovzduší Karlovarského kraje“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verze srpen 2010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ř</w:t>
      </w:r>
      <w:r>
        <w:rPr>
          <w:rFonts w:ascii="Times-Bold" w:hAnsi="Times-Bold" w:cs="Times-Bold"/>
          <w:b/>
          <w:bCs/>
          <w:sz w:val="24"/>
          <w:szCs w:val="24"/>
        </w:rPr>
        <w:t>edkladatel koncepce: Karlovarský kraj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Závodní 353/88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360 21 Karlovy Vary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Zpracovatel koncepce: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Ascend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s.r.o.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Korunní 18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120 00 Praha 2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Zpracovatel posouzení: RNDr. Jaroslav R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ů</w:t>
      </w:r>
      <w:r>
        <w:rPr>
          <w:rFonts w:ascii="Times-Bold" w:hAnsi="Times-Bold" w:cs="Times-Bold"/>
          <w:b/>
          <w:bCs/>
          <w:sz w:val="24"/>
          <w:szCs w:val="24"/>
        </w:rPr>
        <w:t>ži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ka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Ond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ejská 44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360 01 Karlovy Vary</w:t>
      </w:r>
    </w:p>
    <w:p w:rsidR="0097501C" w:rsidRP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 w:rsidRPr="0097501C">
        <w:rPr>
          <w:rFonts w:ascii="Times-Roman" w:hAnsi="Times-Roman" w:cs="Times-Roman"/>
          <w:sz w:val="18"/>
          <w:szCs w:val="18"/>
        </w:rPr>
        <w:t>(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osv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ě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d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č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ení odborné zp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ů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sobilosti pro posuzování vliv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 xml:space="preserve">ů 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na životní prost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ř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 xml:space="preserve">edí </w:t>
      </w:r>
      <w:proofErr w:type="gramStart"/>
      <w:r w:rsidRPr="0097501C">
        <w:rPr>
          <w:rFonts w:ascii="Times-Italic" w:hAnsi="Times-Italic" w:cs="Times-Italic"/>
          <w:i/>
          <w:iCs/>
          <w:sz w:val="18"/>
          <w:szCs w:val="18"/>
        </w:rPr>
        <w:t>dle</w:t>
      </w:r>
      <w:proofErr w:type="gramEnd"/>
    </w:p>
    <w:p w:rsidR="0097501C" w:rsidRP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 w:rsidRPr="0097501C">
        <w:rPr>
          <w:rFonts w:ascii="Times-Italic" w:hAnsi="Times-Italic" w:cs="Times-Italic"/>
          <w:i/>
          <w:iCs/>
          <w:sz w:val="18"/>
          <w:szCs w:val="18"/>
        </w:rPr>
        <w:t>zákona o posuzování vliv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 xml:space="preserve">ů 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na životní prost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ř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 xml:space="preserve">edí </w:t>
      </w:r>
      <w:proofErr w:type="spellStart"/>
      <w:proofErr w:type="gramStart"/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č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.j</w:t>
      </w:r>
      <w:proofErr w:type="spellEnd"/>
      <w:r w:rsidRPr="0097501C">
        <w:rPr>
          <w:rFonts w:ascii="Times-Italic" w:hAnsi="Times-Italic" w:cs="Times-Italic"/>
          <w:i/>
          <w:iCs/>
          <w:sz w:val="18"/>
          <w:szCs w:val="18"/>
        </w:rPr>
        <w:t>.</w:t>
      </w:r>
      <w:proofErr w:type="gramEnd"/>
      <w:r w:rsidRPr="0097501C">
        <w:rPr>
          <w:rFonts w:ascii="Times-Italic" w:hAnsi="Times-Italic" w:cs="Times-Italic"/>
          <w:i/>
          <w:iCs/>
          <w:sz w:val="18"/>
          <w:szCs w:val="18"/>
        </w:rPr>
        <w:t>: 85184/ENV/08</w:t>
      </w:r>
      <w:r w:rsidRPr="0097501C">
        <w:rPr>
          <w:rFonts w:ascii="Times-Roman" w:hAnsi="Times-Roman" w:cs="Times-Roman"/>
          <w:sz w:val="18"/>
          <w:szCs w:val="18"/>
        </w:rPr>
        <w:t>)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  <w:t xml:space="preserve">     RNDr. Marcela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Zambojová</w:t>
      </w:r>
      <w:proofErr w:type="spell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proofErr w:type="spellStart"/>
      <w:r>
        <w:rPr>
          <w:rFonts w:ascii="Times-Roman" w:hAnsi="Times-Roman" w:cs="Times-Roman"/>
          <w:sz w:val="24"/>
          <w:szCs w:val="24"/>
        </w:rPr>
        <w:t>Hrušovská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888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190 12 Praha 9</w:t>
      </w:r>
    </w:p>
    <w:p w:rsidR="0097501C" w:rsidRP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 w:rsidRPr="0097501C">
        <w:rPr>
          <w:rFonts w:ascii="Times-Roman" w:hAnsi="Times-Roman" w:cs="Times-Roman"/>
          <w:sz w:val="18"/>
          <w:szCs w:val="18"/>
        </w:rPr>
        <w:t>(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osv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ě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d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č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ení odborné zp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ů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sobilosti pro posuzování vliv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 xml:space="preserve">ů 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na ve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ř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ejné zdraví,</w:t>
      </w:r>
    </w:p>
    <w:p w:rsidR="0097501C" w:rsidRP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ab/>
      </w:r>
      <w:r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ab/>
      </w:r>
      <w:r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ab/>
      </w:r>
      <w:r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ab/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č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. osv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ě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d</w:t>
      </w:r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č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 xml:space="preserve">ení 1/2006, </w:t>
      </w:r>
      <w:proofErr w:type="spellStart"/>
      <w:proofErr w:type="gramStart"/>
      <w:r w:rsidRPr="0097501C">
        <w:rPr>
          <w:rFonts w:ascii="TimesNewRoman,Italic-OneByteIde" w:hAnsi="TimesNewRoman,Italic-OneByteIde" w:cs="TimesNewRoman,Italic-OneByteIde"/>
          <w:i/>
          <w:iCs/>
          <w:sz w:val="18"/>
          <w:szCs w:val="18"/>
        </w:rPr>
        <w:t>č</w:t>
      </w:r>
      <w:r w:rsidRPr="0097501C">
        <w:rPr>
          <w:rFonts w:ascii="Times-Italic" w:hAnsi="Times-Italic" w:cs="Times-Italic"/>
          <w:i/>
          <w:iCs/>
          <w:sz w:val="18"/>
          <w:szCs w:val="18"/>
        </w:rPr>
        <w:t>.j</w:t>
      </w:r>
      <w:proofErr w:type="spellEnd"/>
      <w:r w:rsidRPr="0097501C">
        <w:rPr>
          <w:rFonts w:ascii="Times-Italic" w:hAnsi="Times-Italic" w:cs="Times-Italic"/>
          <w:i/>
          <w:iCs/>
          <w:sz w:val="18"/>
          <w:szCs w:val="18"/>
        </w:rPr>
        <w:t>.</w:t>
      </w:r>
      <w:proofErr w:type="gramEnd"/>
      <w:r w:rsidRPr="0097501C">
        <w:rPr>
          <w:rFonts w:ascii="Times-Italic" w:hAnsi="Times-Italic" w:cs="Times-Italic"/>
          <w:i/>
          <w:iCs/>
          <w:sz w:val="18"/>
          <w:szCs w:val="18"/>
        </w:rPr>
        <w:t>:OVZ-300-18.5/23562)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Stru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ný popis koncepce: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Aktualizace Programu snižování emisí Karlovarského kraje a Programu ke zlepšení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kvality ovzduší Karlovarského kraje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edstavuje </w:t>
      </w:r>
      <w:proofErr w:type="spellStart"/>
      <w:r>
        <w:rPr>
          <w:rFonts w:ascii="Times-Roman" w:hAnsi="Times-Roman" w:cs="Times-Roman"/>
          <w:sz w:val="24"/>
          <w:szCs w:val="24"/>
        </w:rPr>
        <w:t>celokrajský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koncep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 materiál v oblasti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ochrany ovzduší. Jednotlivé programy jsou úzce spjaté koncepce, jejichž obsahem je analýza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stávajícího stavu zne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iš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ování a zne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išt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ovzduší v Karlovarském kraji a návrhy takových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opat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ení, které by vedly ke zlepšení sou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asného stavu. Cílem obou program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je zajistit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celém území Karlovarského kraje kvalitu ovzduší spl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ující zákonem stanovené požadavky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(imisní limity a cílové imisní limity).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ů</w:t>
      </w:r>
      <w:r>
        <w:rPr>
          <w:rFonts w:ascii="Times-Bold" w:hAnsi="Times-Bold" w:cs="Times-Bold"/>
          <w:b/>
          <w:bCs/>
          <w:sz w:val="24"/>
          <w:szCs w:val="24"/>
        </w:rPr>
        <w:t>b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h posuzování: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Oznámení koncepce „Aktualizace Programu snižování emisí a Programu ke zlepšení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kvality ovzduší Karlovarského kraje“ (dále též jen „koncepce“) zpracované v rozsahu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ílohy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. 7 zákona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100/2001 Sb.,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o zm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kterých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souvisejících zákon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 ve zn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pozd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jších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(dále též jen „zákon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edí“) bylo Ministerstvu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edloženo dne 24. 3. 2010. </w:t>
      </w:r>
      <w:proofErr w:type="gramStart"/>
      <w:r>
        <w:rPr>
          <w:rFonts w:ascii="Times-Roman" w:hAnsi="Times-Roman" w:cs="Times-Roman"/>
          <w:sz w:val="24"/>
          <w:szCs w:val="24"/>
        </w:rPr>
        <w:t>Po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kontrole náležitostí bylo oznámení koncepce zve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no v Informa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ním systému SEA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rozesláno dot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eným správním ú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ad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m a dot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eným územním samosprávným celk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m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 vyjád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ení. Zjiš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 xml:space="preserve">ovací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ízení bylo zahájeno dne 28. 4. 2010 zve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ním na ú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ední desce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Karlovarského kraje a ukon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eno dne 1. 6. 2010 vydáním záv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zjiš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 xml:space="preserve">ovacího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ízení.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Návrh koncepce 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vyhodnocení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 (dále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též jen „vyhodnocení“) zpracovaného v rozsahu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ílohy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9 zákona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byl Ministerstvu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edložen dne 3. 9. 2010 a </w:t>
      </w:r>
      <w:proofErr w:type="gramStart"/>
      <w:r>
        <w:rPr>
          <w:rFonts w:ascii="Times-Roman" w:hAnsi="Times-Roman" w:cs="Times-Roman"/>
          <w:sz w:val="24"/>
          <w:szCs w:val="24"/>
        </w:rPr>
        <w:t>po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kontrole náležitostí byl dne 13. 9. 2010 návrh koncepce 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vyhodnocení zve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 podle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§ 16 zákona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edí.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projednání koncepce 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vyhodnocení se konalo dne 6. 10. 2010 v budov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Krajského ú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adu Ústeckého kraje. Zápis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ejného projednání obdrželo Ministerstvo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dne 8. 10. 2010.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Stru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ný popis posuzování: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koncepce „Aktualizace Programu snižování emisí a Programu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ke zlepšení kvality ovzduší Karlovarského kraje“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 bylo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provedeno v souladu se zákonem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zpracováno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rozsahu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ílohy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9 tohoto zákona a požadavk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jeho rozsah a obsah uvedených v záv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zjiš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 xml:space="preserve">ovacího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ízení.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Sou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ástí procesu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koncepce „Aktualizace Programu snižování emisí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Programu ke zlepšení kvality ovzduší Karlovarského kraje“ bylo také posouzení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koncepce na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zdraví. Hodnocení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koncepce na území soustavy Natura 2000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nebylo zpracováno. Orgány ochrany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írody ve svých stanoviscích konstatovaly, že koncepce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„Aktualizace Programu snižování emisí a Programu ke zlepšení kvality ovzduší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Karlovarského kraje“ nem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že mít vliv na evropsky významné lokality a pta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 oblasti soustavy</w:t>
      </w:r>
    </w:p>
    <w:p w:rsidR="0097501C" w:rsidRP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Natura 2000.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základ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stávajících výstup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procesu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koncepce na životní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 lze konstatovat, že nebyly identifikovány takové negativní vlivy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této koncepce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zdraví, které by znemož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ovaly její schválení.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ípadné nep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íznivé vlivy, které mohou vzniknout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realizaci koncepce, budou v rámci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výb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pomocí stanovených kritérií a s využitím monitoringu realizace koncepce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podchyceny a ú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eliminovány, minimalizovány nebo kompenzovány.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Záv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ry posuzování: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Ministerstvo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jako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íslušný orgán podle § 21 písmena d) zákona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na základ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návrhu koncepce 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etn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vyhodnocení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zdraví, vyjád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k 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mu podaných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ejného projednání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vydává</w:t>
      </w:r>
    </w:p>
    <w:p w:rsidR="0097501C" w:rsidRP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SOUHLASNÉ STANOVISKO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k návrhu koncepce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„Aktualizace Programu snižování emisí a Programu ke zlepšení kvality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ovzduší Karlovarského kraje“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za dodržení níže uvedených podmínek (</w:t>
      </w:r>
      <w:r>
        <w:rPr>
          <w:rFonts w:ascii="TimesNewRoman,Bold-OneByteIdent" w:hAnsi="TimesNewRoman,Bold-OneByteIdent" w:cs="TimesNewRoman,Bold-OneByteIdent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ást A):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realizaci zám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a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 jež budou napl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ovat cíle koncepce, budou respektována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dodržována opat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pro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edcházení, snížení nebo kompenzaci potenciálních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negativních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realizace koncepce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 uvedená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kapitole 7 a 12 Vyhodnocení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koncepce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výb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pro realizaci koncepce zohlednit problematiku ochrany životního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ejného zdraví, a to zapracováním environmentálních kritérií podle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kapitoly 11 Vyhodnocení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koncepce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ejné zdraví </w:t>
      </w: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celkového systému hodnocení a výb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. Zajistit dostate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 personální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odborné kapacity pro oblast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v rámci hodnocení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íprav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jednotlivých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je nezbytné respektovat zvlášt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chrán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ná území,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jejich ochranné podmínky a plány pé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 o 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.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 posuzování konkrétních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respektovat lokality výskytu zvlášt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chrán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ných druh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rostlin a živo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ich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 xml:space="preserve">. </w:t>
      </w: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následného výb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konkrétních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zapojit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íslušné orgány ochrany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írody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 krajiny.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Zajistit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ádnou koordinaci a soub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h prací, aby nedocházelo ke zbyte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nému poškozování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edí (minimalizace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asových prodlev, minimalizace 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hu mechanism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naprázdno, provád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hlu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ných prací pouze ve vymezené dob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, minimalizace období se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zvýšenou prašností atd.)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Zajistit sledování implementace koncepce z hlediska dopad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zdraví, zejména pravidelným vyhodnocováním výsledk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monitoringu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4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opat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realizovaných v rámci koncepce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edí, pravidelným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ováním výsledk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monitoringu, zajišt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ním dostate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 informovanosti všech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skupin zainteresovaných v implementaci koncepce o environmentální problematice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o možných vazbách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ipravovaných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U vybraných projekt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, které mohou mít významný vliv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zárove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naplní charakteristiky a limity zákona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100/2001 Sb., bude provedeno samostatné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posouzení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zám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(EIA). Bez provedení tohoto posouzení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nelze podpo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it realizaci navrhovaného zám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ru a ani ho uskute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nit.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 </w:t>
      </w:r>
      <w:proofErr w:type="gramStart"/>
      <w:r>
        <w:rPr>
          <w:rFonts w:ascii="Times-Roman" w:hAnsi="Times-Roman" w:cs="Times-Roman"/>
          <w:sz w:val="24"/>
          <w:szCs w:val="24"/>
        </w:rPr>
        <w:t>Maximáln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proofErr w:type="gramEnd"/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konkretizovat díl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í etapy a vlastní cílové hodnoty programu, </w:t>
      </w:r>
      <w:proofErr w:type="gramStart"/>
      <w:r>
        <w:rPr>
          <w:rFonts w:ascii="Times-Roman" w:hAnsi="Times-Roman" w:cs="Times-Roman"/>
          <w:sz w:val="24"/>
          <w:szCs w:val="24"/>
        </w:rPr>
        <w:t>které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postupným pln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ním povedou ke zlepšení kvality ovzduší v regionu. Vycházet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íslušného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asového harmonogramu.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 Aktualizovat emisní situaci v Karlovarském kraji popsanou v koncepci o data dostupná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verifikovaná v dob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aktualizace koncepce.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 Veškeré aktivity a opat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navrhované v koncepci budou realizovány s respektováním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integrity a územní ochrany evropsky významných lokalit a pta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ích oblastí soustavy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Natura 2000 a nesmí vést k poškození nebo zhoršení stavu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tu ochrany 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chto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území.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Zám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ry, které budou navrhovány a následn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realizovány na základ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koncepce, musí být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NewRoman-OneByteIdentityH" w:hAnsi="TimesNewRoman-OneByteIdentityH" w:cs="TimesNewRoman-OneByteIdentityH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vyhodnoceny a posouzeny podle § 45h a § 45i zákona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. 114/1992 Sb., o ochran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írody a krajiny, ve zn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ní pozd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jších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edpis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edkladatel koncepce zve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ejní na svých internetových stránkách vypo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ádání veškerých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došlých vyjád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a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ipomínek, a to jak k návrhu koncepce, tak i k jejímu vyhodnocení.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Ministerstvo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upozor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uje na povinnost schvalujícího orgánu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postupovat podle § 10g odst. 4 a odst. 5 zákona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Ministerstvo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edpokládá, že 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ídící složky realizace této koncepce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zajistí u každého navrženého opat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co nejširší publicitu a informování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ejnosti.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Ministerstvo životního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dále upozor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uje p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edkladatele na povinnost zajistit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sledování a rozbor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schválené koncepce 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 a ve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ejné zdraví a další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povinnosti plynoucí z § 10h zákona o 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edí.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Ing. Jaroslava HONOVÁ,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v.r.</w:t>
      </w:r>
      <w:proofErr w:type="gramEnd"/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editelka odboru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posuzování vliv</w:t>
      </w:r>
      <w:r>
        <w:rPr>
          <w:rFonts w:ascii="TimesNewRoman-OneByteIdentityH" w:hAnsi="TimesNewRoman-OneByteIdentityH" w:cs="TimesNewRoman-OneByteIdentityH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na životní prost</w:t>
      </w:r>
      <w:r>
        <w:rPr>
          <w:rFonts w:ascii="TimesNewRoman-OneByteIdentityH" w:hAnsi="TimesNewRoman-OneByteIdentityH" w:cs="TimesNewRoman-OneByteIdentityH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edí</w:t>
      </w:r>
    </w:p>
    <w:p w:rsidR="0097501C" w:rsidRDefault="0097501C" w:rsidP="009750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integrované prevence</w:t>
      </w:r>
    </w:p>
    <w:p w:rsidR="00310FDF" w:rsidRDefault="0097501C" w:rsidP="0097501C"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otisk razítka se státním znakem </w:t>
      </w:r>
      <w:r>
        <w:rPr>
          <w:rFonts w:ascii="TimesNewRoman,Italic-OneByteIde" w:hAnsi="TimesNewRoman,Italic-OneByteIde" w:cs="TimesNewRoman,Italic-OneByteIde"/>
          <w:i/>
          <w:iCs/>
          <w:sz w:val="24"/>
          <w:szCs w:val="24"/>
        </w:rPr>
        <w:t>č</w:t>
      </w:r>
      <w:r>
        <w:rPr>
          <w:rFonts w:ascii="Times-Italic" w:hAnsi="Times-Italic" w:cs="Times-Italic"/>
          <w:i/>
          <w:iCs/>
          <w:sz w:val="24"/>
          <w:szCs w:val="24"/>
        </w:rPr>
        <w:t>. 11</w:t>
      </w:r>
      <w:r>
        <w:rPr>
          <w:rFonts w:ascii="Times-Roman" w:hAnsi="Times-Roman" w:cs="Times-Roman"/>
          <w:sz w:val="24"/>
          <w:szCs w:val="24"/>
        </w:rPr>
        <w:t>)</w:t>
      </w:r>
    </w:p>
    <w:sectPr w:rsidR="00310FDF" w:rsidSect="00505AC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-OneByteIden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-OneByteId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7501C"/>
    <w:rsid w:val="00310FDF"/>
    <w:rsid w:val="003F533B"/>
    <w:rsid w:val="00505ACA"/>
    <w:rsid w:val="0097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1274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2010-11-11T08:56:00Z</dcterms:created>
  <dcterms:modified xsi:type="dcterms:W3CDTF">2010-11-11T09:04:00Z</dcterms:modified>
</cp:coreProperties>
</file>